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46E1A">
      <w:pPr>
        <w:rPr>
          <w:rFonts w:hint="default" w:ascii="仿宋" w:hAnsi="仿宋" w:eastAsia="仿宋" w:cs="Times New Roman"/>
          <w:sz w:val="28"/>
          <w:szCs w:val="28"/>
          <w:lang w:val="en-US" w:eastAsia="zh-CN"/>
        </w:rPr>
      </w:pPr>
      <w:bookmarkStart w:id="0" w:name="_GoBack"/>
      <w:bookmarkEnd w:id="0"/>
    </w:p>
    <w:p w14:paraId="6C6584D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采购合同（模版）</w:t>
      </w:r>
    </w:p>
    <w:p w14:paraId="6CE17E4C">
      <w:pPr>
        <w:pStyle w:val="3"/>
        <w:widowControl/>
        <w:spacing w:after="100" w:afterAutospacing="1"/>
        <w:ind w:left="0" w:right="0"/>
        <w:rPr>
          <w:rFonts w:hint="eastAsia" w:ascii="宋体" w:hAnsi="宋体" w:eastAsia="宋体" w:cs="宋体"/>
          <w:b/>
          <w:bCs w:val="0"/>
          <w:kern w:val="2"/>
          <w:sz w:val="28"/>
          <w:szCs w:val="28"/>
          <w:lang w:val="en-US" w:eastAsia="zh-CN"/>
        </w:rPr>
      </w:pPr>
      <w:r>
        <w:rPr>
          <w:rFonts w:hint="eastAsia" w:ascii="宋体" w:hAnsi="宋体" w:eastAsia="宋体" w:cs="宋体"/>
          <w:b/>
          <w:bCs w:val="0"/>
          <w:kern w:val="2"/>
          <w:sz w:val="28"/>
          <w:szCs w:val="28"/>
        </w:rPr>
        <w:t xml:space="preserve">                                   </w:t>
      </w:r>
      <w:r>
        <w:rPr>
          <w:rFonts w:hint="eastAsia" w:ascii="宋体" w:hAnsi="宋体" w:eastAsia="宋体" w:cs="宋体"/>
          <w:b/>
          <w:bCs w:val="0"/>
          <w:kern w:val="2"/>
          <w:sz w:val="24"/>
          <w:szCs w:val="24"/>
        </w:rPr>
        <w:t xml:space="preserve"> 编号：桐水</w:t>
      </w:r>
      <w:r>
        <w:rPr>
          <w:rFonts w:hint="eastAsia" w:eastAsia="宋体" w:cs="宋体"/>
          <w:b/>
          <w:bCs w:val="0"/>
          <w:kern w:val="2"/>
          <w:sz w:val="24"/>
          <w:szCs w:val="24"/>
          <w:lang w:val="en-US" w:eastAsia="zh-CN"/>
        </w:rPr>
        <w:t>安装</w:t>
      </w:r>
      <w:r>
        <w:rPr>
          <w:rFonts w:hint="eastAsia" w:ascii="宋体" w:hAnsi="宋体" w:eastAsia="宋体" w:cs="宋体"/>
          <w:b/>
          <w:bCs w:val="0"/>
          <w:kern w:val="2"/>
          <w:sz w:val="24"/>
          <w:szCs w:val="24"/>
        </w:rPr>
        <w:t>CG</w:t>
      </w:r>
      <w:r>
        <w:rPr>
          <w:rFonts w:hint="eastAsia" w:eastAsia="宋体" w:cs="宋体"/>
          <w:b/>
          <w:bCs w:val="0"/>
          <w:kern w:val="2"/>
          <w:sz w:val="24"/>
          <w:szCs w:val="24"/>
          <w:lang w:val="en-US" w:eastAsia="zh-CN"/>
        </w:rPr>
        <w:t>-</w:t>
      </w:r>
    </w:p>
    <w:p w14:paraId="4C94E08B">
      <w:pPr>
        <w:keepNext w:val="0"/>
        <w:keepLines w:val="0"/>
        <w:widowControl w:val="0"/>
        <w:suppressLineNumbers w:val="0"/>
        <w:spacing w:before="0" w:beforeAutospacing="0" w:after="0" w:afterAutospacing="0" w:line="360" w:lineRule="auto"/>
        <w:ind w:left="720" w:right="0" w:hanging="630" w:hangingChars="3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甲方：</w:t>
      </w:r>
      <w:r>
        <w:rPr>
          <w:rFonts w:hint="eastAsia" w:ascii="宋体" w:hAnsi="宋体" w:eastAsia="宋体" w:cs="宋体"/>
          <w:kern w:val="2"/>
          <w:sz w:val="21"/>
          <w:szCs w:val="21"/>
          <w:u w:val="single"/>
          <w:lang w:val="en-US" w:eastAsia="zh-CN" w:bidi="ar"/>
        </w:rPr>
        <w:t xml:space="preserve">                                （以下简称甲方）</w:t>
      </w:r>
    </w:p>
    <w:p w14:paraId="3D92C368">
      <w:pPr>
        <w:pStyle w:val="6"/>
        <w:keepNext w:val="0"/>
        <w:keepLines w:val="0"/>
        <w:widowControl/>
        <w:suppressLineNumbers w:val="0"/>
        <w:rPr>
          <w:rFonts w:hint="eastAsia" w:ascii="宋体" w:hAnsi="宋体" w:eastAsia="宋体" w:cs="宋体"/>
          <w:kern w:val="2"/>
          <w:sz w:val="21"/>
          <w:szCs w:val="21"/>
        </w:rPr>
      </w:pPr>
      <w:r>
        <w:rPr>
          <w:rFonts w:hint="eastAsia" w:ascii="宋体" w:hAnsi="宋体" w:eastAsia="宋体" w:cs="宋体"/>
          <w:kern w:val="2"/>
          <w:sz w:val="21"/>
          <w:szCs w:val="21"/>
          <w:u w:val="none"/>
          <w:lang w:val="en-US" w:eastAsia="zh-CN" w:bidi="ar"/>
        </w:rPr>
        <w:t>乙方：</w:t>
      </w:r>
      <w:r>
        <w:rPr>
          <w:rFonts w:hint="eastAsia" w:cs="宋体"/>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(以下简称乙方）</w:t>
      </w:r>
    </w:p>
    <w:p w14:paraId="4DE8282D">
      <w:pPr>
        <w:pStyle w:val="6"/>
        <w:keepNext w:val="0"/>
        <w:keepLines w:val="0"/>
        <w:widowControl/>
        <w:suppressLineNumbers w:val="0"/>
        <w:rPr>
          <w:rFonts w:hint="eastAsia" w:ascii="宋体" w:hAnsi="宋体" w:eastAsia="宋体" w:cs="宋体"/>
          <w:kern w:val="2"/>
          <w:sz w:val="24"/>
          <w:szCs w:val="24"/>
          <w:u w:val="none"/>
          <w:lang w:val="en-US" w:eastAsia="zh-CN" w:bidi="ar"/>
        </w:rPr>
      </w:pPr>
      <w:r>
        <w:rPr>
          <w:rFonts w:hint="eastAsia" w:ascii="宋体" w:hAnsi="宋体" w:eastAsia="宋体" w:cs="宋体"/>
          <w:b/>
          <w:bCs/>
          <w:kern w:val="2"/>
          <w:sz w:val="24"/>
          <w:szCs w:val="24"/>
        </w:rPr>
        <w:t>项目名称：</w:t>
      </w:r>
    </w:p>
    <w:p w14:paraId="786E763D">
      <w:pPr>
        <w:pStyle w:val="3"/>
        <w:widowControl/>
        <w:spacing w:after="100" w:afterAutospacing="1"/>
        <w:ind w:left="0" w:right="0"/>
        <w:rPr>
          <w:rFonts w:hint="eastAsia" w:ascii="宋体" w:hAnsi="宋体" w:eastAsia="宋体" w:cs="Times New Roman"/>
          <w:kern w:val="2"/>
          <w:sz w:val="24"/>
          <w:szCs w:val="24"/>
        </w:rPr>
      </w:pPr>
      <w:r>
        <w:rPr>
          <w:rFonts w:hint="eastAsia" w:ascii="宋体" w:hAnsi="宋体" w:eastAsia="宋体" w:cs="宋体"/>
          <w:kern w:val="2"/>
          <w:sz w:val="24"/>
          <w:szCs w:val="24"/>
        </w:rPr>
        <w:t>签订地点</w:t>
      </w:r>
      <w:r>
        <w:rPr>
          <w:rFonts w:hint="eastAsia" w:eastAsia="宋体" w:cs="宋体"/>
          <w:kern w:val="2"/>
          <w:sz w:val="24"/>
          <w:szCs w:val="24"/>
          <w:lang w:eastAsia="zh-CN"/>
        </w:rPr>
        <w:t>：</w:t>
      </w:r>
      <w:r>
        <w:rPr>
          <w:rFonts w:hint="eastAsia" w:ascii="宋体" w:hAnsi="宋体" w:eastAsia="宋体" w:cs="宋体"/>
          <w:kern w:val="2"/>
          <w:sz w:val="21"/>
          <w:szCs w:val="21"/>
          <w:u w:val="none"/>
          <w:lang w:val="en-US" w:eastAsia="zh-CN" w:bidi="ar"/>
        </w:rPr>
        <w:t>桐城市城乡市政工程安装有限公司</w:t>
      </w:r>
      <w:r>
        <w:rPr>
          <w:rFonts w:hint="eastAsia" w:ascii="宋体" w:hAnsi="宋体" w:eastAsia="宋体" w:cs="Times New Roman"/>
          <w:kern w:val="2"/>
          <w:sz w:val="24"/>
          <w:szCs w:val="24"/>
          <w:u w:val="none"/>
        </w:rPr>
        <w:t xml:space="preserve"> </w:t>
      </w:r>
      <w:r>
        <w:rPr>
          <w:rFonts w:hint="eastAsia" w:eastAsia="宋体" w:cs="宋体"/>
          <w:kern w:val="2"/>
          <w:sz w:val="24"/>
          <w:szCs w:val="24"/>
          <w:lang w:val="en-US" w:eastAsia="zh-CN"/>
        </w:rPr>
        <w:t xml:space="preserve">   </w:t>
      </w:r>
      <w:r>
        <w:rPr>
          <w:rFonts w:hint="eastAsia" w:ascii="宋体" w:hAnsi="宋体" w:eastAsia="宋体" w:cs="Times New Roman"/>
          <w:kern w:val="2"/>
          <w:sz w:val="24"/>
          <w:szCs w:val="24"/>
        </w:rPr>
        <w:t xml:space="preserve">    </w:t>
      </w:r>
      <w:r>
        <w:rPr>
          <w:rFonts w:hint="eastAsia" w:eastAsia="宋体" w:cs="Times New Roman"/>
          <w:kern w:val="2"/>
          <w:sz w:val="24"/>
          <w:szCs w:val="24"/>
          <w:lang w:val="en-US" w:eastAsia="zh-CN"/>
        </w:rPr>
        <w:t xml:space="preserve">     </w:t>
      </w:r>
      <w:r>
        <w:rPr>
          <w:rFonts w:hint="eastAsia" w:ascii="宋体" w:hAnsi="宋体" w:eastAsia="宋体" w:cs="宋体"/>
          <w:b/>
          <w:bCs/>
          <w:kern w:val="2"/>
          <w:sz w:val="24"/>
          <w:szCs w:val="24"/>
        </w:rPr>
        <w:t>签订时间：</w:t>
      </w:r>
    </w:p>
    <w:p w14:paraId="6549A9A2">
      <w:pPr>
        <w:keepNext w:val="0"/>
        <w:keepLines w:val="0"/>
        <w:widowControl w:val="0"/>
        <w:suppressLineNumbers w:val="0"/>
        <w:spacing w:before="0" w:beforeAutospacing="0" w:after="0" w:afterAutospacing="0" w:line="360" w:lineRule="auto"/>
        <w:ind w:left="0" w:right="0" w:firstLine="570"/>
        <w:jc w:val="both"/>
        <w:rPr>
          <w:rFonts w:hint="default" w:ascii="Calibri" w:hAnsi="Calibri" w:eastAsia="宋体" w:cs="Times New Roman"/>
          <w:kern w:val="2"/>
          <w:sz w:val="21"/>
          <w:szCs w:val="21"/>
        </w:rPr>
      </w:pPr>
      <w:r>
        <w:rPr>
          <w:rFonts w:hint="eastAsia" w:ascii="宋体" w:hAnsi="宋体" w:eastAsia="宋体" w:cs="宋体"/>
          <w:kern w:val="2"/>
          <w:sz w:val="24"/>
          <w:szCs w:val="24"/>
          <w:lang w:val="en-US" w:eastAsia="zh-CN" w:bidi="ar"/>
        </w:rPr>
        <w:t>根据《中华人民共和国民法典》</w:t>
      </w:r>
      <w:r>
        <w:rPr>
          <w:rFonts w:hint="eastAsia" w:ascii="宋体" w:hAnsi="宋体" w:eastAsia="宋体" w:cs="宋体"/>
          <w:kern w:val="2"/>
          <w:sz w:val="24"/>
          <w:szCs w:val="24"/>
          <w:u w:val="none"/>
          <w:lang w:val="en-US" w:eastAsia="zh-CN" w:bidi="ar"/>
        </w:rPr>
        <w:t>及相关法律法规，在平等互利的基础上，经双方协商一致，为明确双方的权利和义务，达成如下合同条款：</w:t>
      </w:r>
    </w:p>
    <w:p w14:paraId="13B0A379">
      <w:pPr>
        <w:keepNext w:val="0"/>
        <w:keepLines w:val="0"/>
        <w:widowControl w:val="0"/>
        <w:numPr>
          <w:ilvl w:val="0"/>
          <w:numId w:val="1"/>
        </w:numPr>
        <w:suppressLineNumbers w:val="0"/>
        <w:spacing w:before="0" w:beforeAutospacing="0" w:after="0" w:afterAutospacing="0" w:line="360" w:lineRule="auto"/>
        <w:ind w:left="0" w:right="0" w:firstLine="482" w:firstLineChars="200"/>
        <w:jc w:val="both"/>
        <w:rPr>
          <w:rFonts w:hint="eastAsia" w:ascii="Calibri" w:hAnsi="Calibri" w:eastAsia="宋体" w:cs="Times New Roman"/>
          <w:b/>
          <w:bCs/>
          <w:kern w:val="2"/>
          <w:sz w:val="24"/>
          <w:szCs w:val="24"/>
        </w:rPr>
      </w:pPr>
      <w:r>
        <w:rPr>
          <w:rFonts w:hint="eastAsia" w:ascii="宋体" w:hAnsi="宋体" w:eastAsia="宋体" w:cs="宋体"/>
          <w:b/>
          <w:bCs/>
          <w:kern w:val="2"/>
          <w:sz w:val="24"/>
          <w:szCs w:val="24"/>
          <w:lang w:val="en-US" w:eastAsia="zh-CN" w:bidi="ar"/>
        </w:rPr>
        <w:t>：合同材料名称、规格、单价、合价。</w:t>
      </w:r>
    </w:p>
    <w:tbl>
      <w:tblPr>
        <w:tblStyle w:val="8"/>
        <w:tblW w:w="998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999"/>
        <w:gridCol w:w="774"/>
        <w:gridCol w:w="746"/>
        <w:gridCol w:w="1294"/>
        <w:gridCol w:w="1374"/>
      </w:tblGrid>
      <w:tr w14:paraId="131A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DA74224">
            <w:pPr>
              <w:pStyle w:val="3"/>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序号</w:t>
            </w:r>
          </w:p>
        </w:tc>
        <w:tc>
          <w:tcPr>
            <w:tcW w:w="4999" w:type="dxa"/>
            <w:tcBorders>
              <w:top w:val="single" w:color="auto" w:sz="4" w:space="0"/>
              <w:left w:val="single" w:color="auto" w:sz="4" w:space="0"/>
              <w:bottom w:val="single" w:color="auto" w:sz="4" w:space="0"/>
              <w:right w:val="single" w:color="auto" w:sz="4" w:space="0"/>
            </w:tcBorders>
            <w:noWrap w:val="0"/>
            <w:vAlign w:val="center"/>
          </w:tcPr>
          <w:p w14:paraId="003E9CBD">
            <w:pPr>
              <w:pStyle w:val="3"/>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材料名称</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00228B0">
            <w:pPr>
              <w:pStyle w:val="3"/>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单位</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0BF50E7C">
            <w:pPr>
              <w:pStyle w:val="3"/>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数量</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252AC44">
            <w:pPr>
              <w:pStyle w:val="3"/>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品牌</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63309B">
            <w:pPr>
              <w:pStyle w:val="3"/>
              <w:widowControl/>
              <w:spacing w:after="100" w:afterAutospacing="1"/>
              <w:ind w:left="0" w:right="0"/>
              <w:jc w:val="center"/>
              <w:rPr>
                <w:rFonts w:hint="eastAsia" w:ascii="宋体" w:hAnsi="宋体" w:eastAsia="宋体" w:cs="Times New Roman"/>
                <w:b w:val="0"/>
                <w:bCs w:val="0"/>
                <w:kern w:val="2"/>
                <w:sz w:val="24"/>
                <w:szCs w:val="24"/>
                <w:lang w:val="en-US" w:eastAsia="zh-CN"/>
              </w:rPr>
            </w:pPr>
            <w:r>
              <w:rPr>
                <w:rFonts w:hint="eastAsia" w:ascii="宋体" w:hAnsi="宋体" w:eastAsia="宋体" w:cs="宋体"/>
                <w:b w:val="0"/>
                <w:bCs w:val="0"/>
                <w:kern w:val="2"/>
                <w:sz w:val="24"/>
                <w:szCs w:val="24"/>
              </w:rPr>
              <w:t>单价</w:t>
            </w:r>
            <w:r>
              <w:rPr>
                <w:rFonts w:hint="eastAsia" w:eastAsia="宋体" w:cs="宋体"/>
                <w:b w:val="0"/>
                <w:bCs w:val="0"/>
                <w:kern w:val="2"/>
                <w:sz w:val="24"/>
                <w:szCs w:val="24"/>
                <w:lang w:eastAsia="zh-CN"/>
              </w:rPr>
              <w:t>（</w:t>
            </w:r>
            <w:r>
              <w:rPr>
                <w:rFonts w:hint="eastAsia" w:eastAsia="宋体" w:cs="宋体"/>
                <w:b w:val="0"/>
                <w:bCs w:val="0"/>
                <w:kern w:val="2"/>
                <w:sz w:val="24"/>
                <w:szCs w:val="24"/>
                <w:lang w:val="en-US" w:eastAsia="zh-CN"/>
              </w:rPr>
              <w:t>元</w:t>
            </w:r>
            <w:r>
              <w:rPr>
                <w:rFonts w:hint="eastAsia" w:eastAsia="宋体" w:cs="宋体"/>
                <w:b w:val="0"/>
                <w:bCs w:val="0"/>
                <w:kern w:val="2"/>
                <w:sz w:val="24"/>
                <w:szCs w:val="24"/>
                <w:lang w:eastAsia="zh-CN"/>
              </w:rPr>
              <w:t>）</w:t>
            </w:r>
          </w:p>
        </w:tc>
      </w:tr>
      <w:tr w14:paraId="7BAE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528E4B8">
            <w:pPr>
              <w:pStyle w:val="3"/>
              <w:widowControl/>
              <w:numPr>
                <w:ilvl w:val="0"/>
                <w:numId w:val="2"/>
              </w:numPr>
              <w:spacing w:after="100" w:afterAutospacing="1"/>
              <w:ind w:left="425" w:leftChars="0" w:right="0" w:hanging="425" w:firstLineChars="0"/>
              <w:jc w:val="center"/>
              <w:rPr>
                <w:rFonts w:hint="eastAsia" w:ascii="宋体" w:hAnsi="宋体" w:eastAsia="宋体" w:cs="Times New Roman"/>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8EAE2">
            <w:pPr>
              <w:keepNext w:val="0"/>
              <w:keepLines w:val="0"/>
              <w:widowControl/>
              <w:suppressLineNumbers w:val="0"/>
              <w:jc w:val="center"/>
              <w:textAlignment w:val="center"/>
              <w:rPr>
                <w:rFonts w:hint="eastAsia" w:ascii="Times New Roman" w:hAnsiTheme="minorHAnsi" w:eastAsiaTheme="minorEastAsia" w:cstheme="minorBidi"/>
                <w:kern w:val="2"/>
                <w:sz w:val="24"/>
                <w:szCs w:val="24"/>
                <w:lang w:val="en-US" w:eastAsia="zh-CN" w:bidi="ar-SA"/>
              </w:rPr>
            </w:pPr>
          </w:p>
        </w:tc>
        <w:tc>
          <w:tcPr>
            <w:tcW w:w="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16CD7">
            <w:pPr>
              <w:keepNext w:val="0"/>
              <w:keepLines w:val="0"/>
              <w:widowControl/>
              <w:suppressLineNumbers w:val="0"/>
              <w:jc w:val="center"/>
              <w:textAlignment w:val="center"/>
              <w:rPr>
                <w:rFonts w:hint="eastAsia" w:ascii="Times New Roman" w:hAnsiTheme="minorHAnsi" w:eastAsiaTheme="minorEastAsia" w:cstheme="minorBidi"/>
                <w:kern w:val="2"/>
                <w:sz w:val="24"/>
                <w:szCs w:val="24"/>
                <w:lang w:val="en-US" w:eastAsia="zh-CN" w:bidi="ar-SA"/>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A4D3A">
            <w:pPr>
              <w:keepNext w:val="0"/>
              <w:keepLines w:val="0"/>
              <w:widowControl/>
              <w:suppressLineNumbers w:val="0"/>
              <w:jc w:val="center"/>
              <w:textAlignment w:val="center"/>
              <w:rPr>
                <w:rFonts w:hint="eastAsia" w:ascii="Times New Roman" w:hAnsiTheme="minorHAnsi" w:eastAsiaTheme="minorEastAsia" w:cstheme="minorBidi"/>
                <w:kern w:val="2"/>
                <w:sz w:val="24"/>
                <w:szCs w:val="24"/>
                <w:lang w:val="en-US" w:eastAsia="zh-CN" w:bidi="ar-SA"/>
              </w:rPr>
            </w:pPr>
          </w:p>
        </w:tc>
        <w:tc>
          <w:tcPr>
            <w:tcW w:w="12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7EDFF">
            <w:pPr>
              <w:pStyle w:val="10"/>
              <w:jc w:val="center"/>
              <w:rPr>
                <w:rFonts w:hint="eastAsia" w:ascii="Times New Roman" w:hAnsi="Microsoft JhengHei" w:eastAsia="宋体" w:cs="Microsoft JhengHei"/>
                <w:kern w:val="2"/>
                <w:sz w:val="24"/>
                <w:szCs w:val="24"/>
                <w:lang w:val="en-US" w:eastAsia="zh-CN" w:bidi="zh-CN"/>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FCDDB">
            <w:pPr>
              <w:keepNext w:val="0"/>
              <w:keepLines w:val="0"/>
              <w:widowControl/>
              <w:suppressLineNumbers w:val="0"/>
              <w:jc w:val="center"/>
              <w:textAlignment w:val="center"/>
              <w:rPr>
                <w:rFonts w:hint="default" w:ascii="仿宋" w:hAnsi="仿宋" w:eastAsia="仿宋" w:cs="Times New Roman"/>
                <w:color w:val="auto"/>
                <w:kern w:val="2"/>
                <w:sz w:val="24"/>
                <w:szCs w:val="24"/>
                <w:lang w:val="en-US" w:eastAsia="zh-CN" w:bidi="ar-SA"/>
              </w:rPr>
            </w:pPr>
          </w:p>
        </w:tc>
      </w:tr>
      <w:tr w14:paraId="5E92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FCF2C6C">
            <w:pPr>
              <w:pStyle w:val="3"/>
              <w:widowControl/>
              <w:numPr>
                <w:ilvl w:val="0"/>
                <w:numId w:val="2"/>
              </w:numPr>
              <w:spacing w:after="100" w:afterAutospacing="1"/>
              <w:ind w:left="425" w:leftChars="0" w:right="0" w:hanging="425" w:firstLineChars="0"/>
              <w:jc w:val="center"/>
              <w:rPr>
                <w:rFonts w:hint="eastAsia" w:ascii="宋体" w:hAnsi="宋体" w:eastAsia="宋体" w:cs="宋体"/>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40BD2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7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71465">
            <w:pPr>
              <w:keepNext w:val="0"/>
              <w:keepLines w:val="0"/>
              <w:widowControl/>
              <w:suppressLineNumbers w:val="0"/>
              <w:jc w:val="center"/>
              <w:textAlignment w:val="center"/>
              <w:rPr>
                <w:rFonts w:hint="eastAsia" w:ascii="仿宋" w:hAnsi="仿宋" w:eastAsia="仿宋" w:cs="Times New Roman"/>
                <w:kern w:val="2"/>
                <w:sz w:val="24"/>
                <w:szCs w:val="24"/>
                <w:lang w:val="en-US" w:eastAsia="zh-CN" w:bidi="ar-SA"/>
              </w:rPr>
            </w:pPr>
          </w:p>
        </w:tc>
        <w:tc>
          <w:tcPr>
            <w:tcW w:w="7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214E5">
            <w:pPr>
              <w:keepNext w:val="0"/>
              <w:keepLines w:val="0"/>
              <w:widowControl/>
              <w:suppressLineNumbers w:val="0"/>
              <w:jc w:val="center"/>
              <w:textAlignment w:val="center"/>
              <w:rPr>
                <w:rFonts w:hint="eastAsia" w:ascii="仿宋" w:hAnsi="仿宋" w:eastAsia="仿宋" w:cs="Times New Roman"/>
                <w:color w:val="auto"/>
                <w:kern w:val="2"/>
                <w:sz w:val="24"/>
                <w:szCs w:val="24"/>
                <w:lang w:val="en-US" w:eastAsia="zh-CN" w:bidi="ar-SA"/>
              </w:rPr>
            </w:pPr>
          </w:p>
        </w:tc>
        <w:tc>
          <w:tcPr>
            <w:tcW w:w="12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C31E23">
            <w:pPr>
              <w:jc w:val="center"/>
              <w:rPr>
                <w:rFonts w:hint="eastAsia" w:ascii="Times New Roman" w:eastAsia="宋体" w:hAnsiTheme="minorHAnsi" w:cstheme="minorBidi"/>
                <w:kern w:val="2"/>
                <w:sz w:val="24"/>
                <w:szCs w:val="24"/>
                <w:lang w:val="en-US" w:eastAsia="zh-CN" w:bidi="ar-SA"/>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2510D">
            <w:pPr>
              <w:keepNext w:val="0"/>
              <w:keepLines w:val="0"/>
              <w:widowControl/>
              <w:suppressLineNumbers w:val="0"/>
              <w:jc w:val="center"/>
              <w:textAlignment w:val="center"/>
              <w:rPr>
                <w:rFonts w:hint="default" w:ascii="仿宋" w:hAnsi="仿宋" w:eastAsia="仿宋" w:cs="Times New Roman"/>
                <w:color w:val="auto"/>
                <w:kern w:val="2"/>
                <w:sz w:val="24"/>
                <w:szCs w:val="24"/>
                <w:lang w:val="en-US" w:eastAsia="zh-CN" w:bidi="ar-SA"/>
              </w:rPr>
            </w:pPr>
          </w:p>
        </w:tc>
      </w:tr>
      <w:tr w14:paraId="49C2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987" w:type="dxa"/>
            <w:gridSpan w:val="6"/>
            <w:tcBorders>
              <w:top w:val="single" w:color="auto" w:sz="4" w:space="0"/>
              <w:left w:val="single" w:color="auto" w:sz="4" w:space="0"/>
              <w:bottom w:val="single" w:color="auto" w:sz="4" w:space="0"/>
              <w:right w:val="single" w:color="auto" w:sz="4" w:space="0"/>
            </w:tcBorders>
            <w:noWrap w:val="0"/>
            <w:vAlign w:val="center"/>
          </w:tcPr>
          <w:p w14:paraId="5106DF0C">
            <w:pPr>
              <w:pStyle w:val="6"/>
              <w:keepNext w:val="0"/>
              <w:keepLines w:val="0"/>
              <w:widowControl/>
              <w:suppressLineNumbers w:val="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rPr>
              <w:t>总计：</w:t>
            </w:r>
            <w:r>
              <w:rPr>
                <w:rFonts w:hint="eastAsia" w:cs="宋体"/>
                <w:b/>
                <w:bCs/>
                <w:kern w:val="2"/>
                <w:sz w:val="24"/>
                <w:szCs w:val="24"/>
                <w:lang w:val="en-US" w:eastAsia="zh-CN"/>
              </w:rPr>
              <w:t xml:space="preserve">       </w:t>
            </w:r>
            <w:r>
              <w:rPr>
                <w:rFonts w:hint="eastAsia" w:ascii="宋体" w:hAnsi="宋体" w:eastAsia="宋体" w:cs="宋体"/>
                <w:b/>
                <w:bCs/>
                <w:kern w:val="2"/>
                <w:sz w:val="24"/>
                <w:szCs w:val="24"/>
                <w:u w:val="none"/>
              </w:rPr>
              <w:t xml:space="preserve"> </w:t>
            </w:r>
            <w:r>
              <w:rPr>
                <w:rFonts w:hint="eastAsia" w:cs="宋体"/>
                <w:b/>
                <w:bCs/>
                <w:kern w:val="2"/>
                <w:sz w:val="24"/>
                <w:szCs w:val="24"/>
                <w:lang w:val="en-US" w:eastAsia="zh-CN"/>
              </w:rPr>
              <w:t xml:space="preserve"> </w:t>
            </w:r>
            <w:r>
              <w:rPr>
                <w:rFonts w:hint="eastAsia" w:ascii="宋体" w:hAnsi="宋体" w:eastAsia="宋体" w:cs="宋体"/>
                <w:b/>
                <w:bCs/>
                <w:kern w:val="2"/>
                <w:sz w:val="24"/>
                <w:szCs w:val="24"/>
              </w:rPr>
              <w:t>元</w:t>
            </w:r>
            <w:r>
              <w:rPr>
                <w:rFonts w:hint="eastAsia" w:eastAsia="宋体" w:cs="宋体"/>
                <w:b/>
                <w:bCs/>
                <w:kern w:val="2"/>
                <w:sz w:val="24"/>
                <w:szCs w:val="24"/>
                <w:lang w:val="en-US" w:eastAsia="zh-CN"/>
              </w:rPr>
              <w:t xml:space="preserve">   （</w:t>
            </w:r>
            <w:r>
              <w:rPr>
                <w:rFonts w:hint="eastAsia" w:ascii="Times New Roman" w:eastAsia="宋体"/>
                <w:b/>
                <w:bCs/>
                <w:sz w:val="24"/>
                <w:szCs w:val="24"/>
                <w:u w:val="none"/>
                <w:lang w:val="en-US" w:eastAsia="zh-CN"/>
              </w:rPr>
              <w:t xml:space="preserve"> </w:t>
            </w:r>
            <w:r>
              <w:rPr>
                <w:rFonts w:hint="eastAsia" w:ascii="Times New Roman"/>
                <w:b/>
                <w:bCs/>
                <w:sz w:val="24"/>
                <w:szCs w:val="24"/>
                <w:u w:val="none"/>
                <w:lang w:val="en-US" w:eastAsia="zh-CN"/>
              </w:rPr>
              <w:t xml:space="preserve">     </w:t>
            </w:r>
            <w:r>
              <w:rPr>
                <w:rFonts w:hint="eastAsia" w:eastAsia="宋体" w:cs="宋体"/>
                <w:b/>
                <w:bCs/>
                <w:kern w:val="2"/>
                <w:sz w:val="24"/>
                <w:szCs w:val="24"/>
                <w:lang w:val="en-US" w:eastAsia="zh-CN"/>
              </w:rPr>
              <w:t>）</w:t>
            </w:r>
          </w:p>
        </w:tc>
      </w:tr>
    </w:tbl>
    <w:p w14:paraId="2F0CA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以甲乙双方确定的产品货物清单为准。</w:t>
      </w:r>
    </w:p>
    <w:p w14:paraId="753FA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lang w:val="en-US" w:eastAsia="zh-CN" w:bidi="ar"/>
        </w:rPr>
        <w:t>以上所有材料符合最新国标标准，所投产品响应招标文件里面一切要求，合同单价包括运输、</w:t>
      </w:r>
      <w:r>
        <w:rPr>
          <w:rFonts w:hint="eastAsia" w:ascii="宋体" w:hAnsi="宋体" w:eastAsia="宋体" w:cs="宋体"/>
          <w:kern w:val="2"/>
          <w:sz w:val="24"/>
          <w:szCs w:val="24"/>
          <w:u w:val="none"/>
          <w:lang w:val="en-US" w:eastAsia="zh-CN" w:bidi="ar"/>
        </w:rPr>
        <w:t>装卸、税费（13%增值税专用发票）、</w:t>
      </w:r>
      <w:r>
        <w:rPr>
          <w:rFonts w:hint="eastAsia" w:ascii="宋体" w:hAnsi="宋体" w:eastAsia="宋体" w:cs="宋体"/>
          <w:kern w:val="2"/>
          <w:sz w:val="24"/>
          <w:szCs w:val="24"/>
          <w:lang w:val="en-US" w:eastAsia="zh-CN" w:bidi="ar"/>
        </w:rPr>
        <w:t>技术指导、保险及产品到达甲方指定地点的所有各种费用。</w:t>
      </w:r>
    </w:p>
    <w:p w14:paraId="66F4ED8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第二条：产品质量标准。</w:t>
      </w:r>
    </w:p>
    <w:p w14:paraId="0273C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lang w:val="en-US" w:eastAsia="zh-CN" w:bidi="ar"/>
        </w:rPr>
        <w:t>乙方保证所供商品（包括商品部件、配件）符合国家规定的技术规格和质量标准的出厂原装合格的产品，并且完全符合甲方采购货物要求所规定的技术参数和质量要求。</w:t>
      </w:r>
      <w:r>
        <w:rPr>
          <w:rFonts w:hint="eastAsia" w:ascii="宋体" w:hAnsi="宋体" w:eastAsia="宋体" w:cs="宋体"/>
          <w:b w:val="0"/>
          <w:bCs w:val="0"/>
          <w:kern w:val="2"/>
          <w:sz w:val="24"/>
          <w:szCs w:val="24"/>
          <w:lang w:val="en-US" w:eastAsia="zh-CN" w:bidi="ar"/>
        </w:rPr>
        <w:t>乙方供货时同时提供所供产品《卫生许可证批件》、提供所供产品产品质量合格证、同批次产品的《质量检测报告》、提供验收的必要技术资料等</w:t>
      </w:r>
      <w:r>
        <w:rPr>
          <w:rFonts w:hint="eastAsia" w:ascii="宋体" w:hAnsi="宋体" w:eastAsia="宋体" w:cs="宋体"/>
          <w:kern w:val="2"/>
          <w:sz w:val="24"/>
          <w:szCs w:val="24"/>
          <w:lang w:val="en-US" w:eastAsia="zh-CN" w:bidi="ar"/>
        </w:rPr>
        <w:t>；因所供商品质量原因造成甲方及关联方损失的由乙方负全责。</w:t>
      </w:r>
      <w:r>
        <w:rPr>
          <w:rFonts w:hint="eastAsia" w:ascii="宋体" w:hAnsi="宋体" w:eastAsia="宋体" w:cs="宋体"/>
          <w:kern w:val="2"/>
          <w:sz w:val="24"/>
          <w:szCs w:val="24"/>
          <w:u w:val="none"/>
          <w:lang w:val="en-US" w:eastAsia="zh-CN" w:bidi="ar"/>
        </w:rPr>
        <w:t>若因产品质量问题导致甲方或第三方损失，乙方承担全部赔偿责任。</w:t>
      </w:r>
    </w:p>
    <w:p w14:paraId="0DA38D9C">
      <w:pPr>
        <w:keepNext w:val="0"/>
        <w:keepLines w:val="0"/>
        <w:widowControl w:val="0"/>
        <w:suppressLineNumbers w:val="0"/>
        <w:spacing w:before="0" w:beforeAutospacing="0" w:after="0" w:afterAutospacing="0" w:line="360" w:lineRule="auto"/>
        <w:ind w:left="0" w:right="0" w:firstLine="511" w:firstLineChars="212"/>
        <w:jc w:val="both"/>
        <w:rPr>
          <w:rFonts w:hint="eastAsia"/>
          <w:lang w:val="en-US" w:eastAsia="zh-CN"/>
        </w:rPr>
      </w:pPr>
      <w:r>
        <w:rPr>
          <w:rFonts w:hint="eastAsia" w:ascii="宋体" w:hAnsi="宋体" w:eastAsia="宋体" w:cs="宋体"/>
          <w:b/>
          <w:bCs/>
          <w:kern w:val="2"/>
          <w:sz w:val="24"/>
          <w:szCs w:val="24"/>
          <w:lang w:val="en-US" w:eastAsia="zh-CN" w:bidi="ar"/>
        </w:rPr>
        <w:t>甲方对供货厂家的产品质量产生质疑时，有权进行随机抽检，甲方委托专业的第三方机构（甲方指定）进行检测，检测等产生的所有费用由乙方承担，如检测中发现产品不合格，甲方有权终止合同，并保留追究其法律责任的权利，因检测中发现的产品质量不合格问题对甲方工期造成影响，不能按合同规定时间进行供货，乙方须向甲方支付中标总价款的10%。</w:t>
      </w:r>
    </w:p>
    <w:p w14:paraId="484AF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第三条：合同履行时间、地点。</w:t>
      </w:r>
    </w:p>
    <w:p w14:paraId="3C141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交货时间：合同签订后，乙方应在接到甲方通知后的5日内，按通知数量送货至甲方指定地点。</w:t>
      </w:r>
    </w:p>
    <w:p w14:paraId="4B262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交货地点：甲方指定施工现场（具体地址由甲方提前通知）。</w:t>
      </w:r>
    </w:p>
    <w:p w14:paraId="6C8E2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u w:val="none"/>
          <w:lang w:val="en-US" w:eastAsia="zh-CN" w:bidi="ar"/>
        </w:rPr>
        <w:t xml:space="preserve">3. 包装要求：产品包装应符合国家标准，确保运输及装卸过程中无损坏。如因运输包装等问题导致产品缺失或损坏，由乙方负责补货或赔偿。 </w:t>
      </w:r>
    </w:p>
    <w:p w14:paraId="130C4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kern w:val="2"/>
          <w:sz w:val="24"/>
          <w:szCs w:val="24"/>
          <w:u w:val="single"/>
        </w:rPr>
      </w:pPr>
      <w:r>
        <w:rPr>
          <w:rFonts w:hint="eastAsia" w:ascii="宋体" w:hAnsi="宋体" w:eastAsia="宋体" w:cs="宋体"/>
          <w:b/>
          <w:bCs/>
          <w:kern w:val="2"/>
          <w:sz w:val="24"/>
          <w:szCs w:val="24"/>
          <w:lang w:val="en-US" w:eastAsia="zh-CN" w:bidi="ar"/>
        </w:rPr>
        <w:t>第四条：:验收时间、组织。</w:t>
      </w:r>
    </w:p>
    <w:p w14:paraId="3767E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甲方应在收到货物核实后90日内完成验收工作，乙方应配合验收。</w:t>
      </w:r>
    </w:p>
    <w:p w14:paraId="1E32B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验收标准以合同约定的技术参数及国家相关标准为准。</w:t>
      </w:r>
    </w:p>
    <w:p w14:paraId="39A00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u w:val="none"/>
          <w:lang w:val="en-US" w:eastAsia="zh-CN" w:bidi="ar"/>
        </w:rPr>
        <w:t>3. 验收合格后，甲方向乙方出具《验收合格报告单》。</w:t>
      </w:r>
    </w:p>
    <w:p w14:paraId="0147B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第五条：货款支付。</w:t>
      </w:r>
    </w:p>
    <w:p w14:paraId="55A68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支付方式：验收合格后，乙方向甲方提供13%增值税专用发票、合同复印件及验收合格报告单等支付审核的必要文件。甲方在收到上述文件后3个月内支付该批结算核对货款的95%。剩余5%余款质保期满（三年）且无质量问题后无息支付。</w:t>
      </w:r>
    </w:p>
    <w:p w14:paraId="4957E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u w:val="none"/>
          <w:lang w:val="en-US" w:eastAsia="zh-CN" w:bidi="ar"/>
        </w:rPr>
        <w:t xml:space="preserve">2. 支付条件：乙方未按约定提供发票或验收不合格的，甲方有权延迟支付且不承担违约责任。结算账户必须与合同签订时的开户银行及账号一致。 </w:t>
      </w:r>
    </w:p>
    <w:p w14:paraId="45B63F0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第六条：售后服务。</w:t>
      </w:r>
    </w:p>
    <w:p w14:paraId="5A4C8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质保期：自验收合格之日起3年。</w:t>
      </w:r>
    </w:p>
    <w:p w14:paraId="15FF9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服务要求：产品出现故障时，乙方须在4小时内响应，24小时内完成修复或更换。乙方负责指导安装并参与调试工作。</w:t>
      </w:r>
    </w:p>
    <w:p w14:paraId="3DC04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u w:val="none"/>
          <w:lang w:val="en-US" w:eastAsia="zh-CN" w:bidi="ar"/>
        </w:rPr>
        <w:t>3. 违约处理：乙方未按约定提供售后服务的，甲方有权委托第三方代为履行，相关费用由乙方承担。</w:t>
      </w:r>
    </w:p>
    <w:p w14:paraId="45D65D6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第七条：乙方承担合同标的供货及交付前的一切费用和市场风险。</w:t>
      </w:r>
    </w:p>
    <w:p w14:paraId="0C1A7F9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第八条：其他约定。</w:t>
      </w:r>
    </w:p>
    <w:p w14:paraId="729559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kern w:val="2"/>
          <w:sz w:val="24"/>
          <w:szCs w:val="24"/>
        </w:rPr>
      </w:pPr>
      <w:r>
        <w:rPr>
          <w:rFonts w:hint="eastAsia" w:ascii="宋体" w:hAnsi="宋体" w:eastAsia="宋体" w:cs="宋体"/>
          <w:b w:val="0"/>
          <w:bCs w:val="0"/>
          <w:kern w:val="0"/>
          <w:sz w:val="24"/>
          <w:szCs w:val="24"/>
          <w:lang w:val="en-US" w:eastAsia="zh-CN" w:bidi="ar"/>
        </w:rPr>
        <w:t>甲方有权根据实际情况调整材料数量，合同的最终结算金额按实际供货数量乘以中标单价进行计算,且结算金额不超过合同总价。</w:t>
      </w:r>
      <w:r>
        <w:rPr>
          <w:rFonts w:hint="eastAsia" w:ascii="宋体" w:hAnsi="宋体" w:eastAsia="宋体" w:cs="宋体"/>
          <w:b/>
          <w:bCs/>
          <w:kern w:val="2"/>
          <w:sz w:val="24"/>
          <w:szCs w:val="24"/>
        </w:rPr>
        <w:t xml:space="preserve"> </w:t>
      </w:r>
    </w:p>
    <w:p w14:paraId="1D00EE4A">
      <w:pPr>
        <w:pStyle w:val="3"/>
        <w:widowControl/>
        <w:spacing w:after="100" w:afterAutospacing="1"/>
        <w:ind w:left="0" w:right="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 xml:space="preserve"> 第九条：违约责任。</w:t>
      </w:r>
    </w:p>
    <w:p w14:paraId="056A46FE">
      <w:pPr>
        <w:pStyle w:val="3"/>
        <w:widowControl/>
        <w:spacing w:after="100" w:afterAutospacing="1"/>
        <w:ind w:left="0" w:right="0" w:firstLine="480" w:firstLineChars="200"/>
        <w:rPr>
          <w:rFonts w:hint="eastAsia" w:ascii="宋体" w:hAnsi="宋体" w:eastAsia="宋体" w:cs="宋体"/>
          <w:kern w:val="2"/>
          <w:sz w:val="24"/>
          <w:szCs w:val="24"/>
          <w:u w:val="none"/>
        </w:rPr>
      </w:pPr>
      <w:r>
        <w:rPr>
          <w:rFonts w:hint="eastAsia" w:ascii="宋体" w:hAnsi="宋体" w:eastAsia="宋体" w:cs="宋体"/>
          <w:kern w:val="2"/>
          <w:sz w:val="24"/>
          <w:szCs w:val="24"/>
          <w:lang w:val="en-US" w:eastAsia="zh-CN" w:bidi="ar"/>
        </w:rPr>
        <w:t>由于乙方原因（除不可抗力外）不能按期交付合同标的，每延期一日，乙方应按合同总价款的</w:t>
      </w:r>
      <w:r>
        <w:rPr>
          <w:rFonts w:hint="eastAsia" w:ascii="宋体" w:hAnsi="宋体" w:eastAsia="宋体" w:cs="宋体"/>
          <w:kern w:val="2"/>
          <w:sz w:val="24"/>
          <w:szCs w:val="24"/>
          <w:u w:val="single"/>
          <w:lang w:val="en-US" w:eastAsia="zh-CN" w:bidi="ar"/>
        </w:rPr>
        <w:t xml:space="preserve">  3 ‰ </w:t>
      </w:r>
      <w:r>
        <w:rPr>
          <w:rFonts w:hint="eastAsia" w:ascii="宋体" w:hAnsi="宋体" w:eastAsia="宋体" w:cs="宋体"/>
          <w:kern w:val="2"/>
          <w:sz w:val="24"/>
          <w:szCs w:val="24"/>
          <w:lang w:val="en-US" w:eastAsia="zh-CN" w:bidi="ar"/>
        </w:rPr>
        <w:t>向甲方支付违约金，在合同货款支付时一次性扣除，若超出交付期十天（含十天）以上的，甲方有权解除合同。甲方决定解除合同的，乙方应按合同总价款的</w:t>
      </w:r>
      <w:r>
        <w:rPr>
          <w:rFonts w:hint="eastAsia" w:ascii="宋体" w:hAnsi="宋体" w:eastAsia="宋体" w:cs="宋体"/>
          <w:kern w:val="2"/>
          <w:sz w:val="24"/>
          <w:szCs w:val="24"/>
          <w:u w:val="single"/>
          <w:lang w:val="en-US" w:eastAsia="zh-CN" w:bidi="ar"/>
        </w:rPr>
        <w:t xml:space="preserve">  10% </w:t>
      </w:r>
      <w:r>
        <w:rPr>
          <w:rFonts w:hint="eastAsia" w:ascii="宋体" w:hAnsi="宋体" w:eastAsia="宋体" w:cs="宋体"/>
          <w:kern w:val="2"/>
          <w:sz w:val="24"/>
          <w:szCs w:val="24"/>
          <w:lang w:val="en-US" w:eastAsia="zh-CN" w:bidi="ar"/>
        </w:rPr>
        <w:t>向甲方支付违约金。</w:t>
      </w:r>
      <w:r>
        <w:rPr>
          <w:rFonts w:hint="eastAsia" w:ascii="宋体" w:hAnsi="宋体" w:eastAsia="宋体" w:cs="宋体"/>
          <w:kern w:val="2"/>
          <w:sz w:val="24"/>
          <w:szCs w:val="24"/>
          <w:u w:val="none"/>
          <w:lang w:val="en-US" w:eastAsia="zh-CN" w:bidi="ar"/>
        </w:rPr>
        <w:t>乙方未按约定提供售后服务的，按每次合同金额 3 ‰ 支付违约金。</w:t>
      </w:r>
    </w:p>
    <w:p w14:paraId="464771F6">
      <w:pPr>
        <w:keepNext w:val="0"/>
        <w:keepLines w:val="0"/>
        <w:widowControl w:val="0"/>
        <w:suppressLineNumbers w:val="0"/>
        <w:spacing w:before="0" w:beforeAutospacing="0" w:after="0" w:afterAutospacing="0" w:line="360" w:lineRule="auto"/>
        <w:ind w:left="0" w:right="0" w:firstLine="508" w:firstLineChars="212"/>
        <w:jc w:val="both"/>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甲方不按合同约定期限支付货款的，每延期一日，应向乙方支付应付金额  3 ‰ 的违约金。</w:t>
      </w:r>
    </w:p>
    <w:p w14:paraId="0DB7E14A">
      <w:pPr>
        <w:keepNext w:val="0"/>
        <w:keepLines w:val="0"/>
        <w:widowControl w:val="0"/>
        <w:suppressLineNumbers w:val="0"/>
        <w:spacing w:before="0" w:beforeAutospacing="0" w:after="0" w:afterAutospacing="0" w:line="360" w:lineRule="auto"/>
        <w:ind w:left="0" w:right="0" w:firstLine="508" w:firstLineChars="212"/>
        <w:jc w:val="both"/>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lang w:val="en-US" w:eastAsia="zh-CN" w:bidi="ar"/>
        </w:rPr>
        <w:t>如遇特殊情况甲方要求推迟供货或验收的，必须事先征得乙方的同意，否则应承担由此给乙方造成的损失。</w:t>
      </w:r>
    </w:p>
    <w:p w14:paraId="4550845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第十条：争议的解决。</w:t>
      </w:r>
    </w:p>
    <w:p w14:paraId="28AAB4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甲方对产品质量等其他产生质疑的，须对货物进行抽检送检，一切费用由乙方承担，由甲方委托有关技术部门进行质量鉴定，该鉴定的结论甲乙双方应当接受，各方均有权直接向对方索赔，并签订书面处理协议书，报有关部门备案。</w:t>
      </w:r>
    </w:p>
    <w:p w14:paraId="0C886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u w:val="none"/>
          <w:lang w:val="en-US" w:eastAsia="zh-CN" w:bidi="ar"/>
        </w:rPr>
        <w:t xml:space="preserve">2.双方因合同产生争议的，应首先通过友好协商解决；协商不成的，任何一方可向合同签订地人民法院提起诉。争议解决期间，合同其他条款仍需继续履行，除非争议事项直接影响合同履行。 </w:t>
      </w:r>
    </w:p>
    <w:p w14:paraId="52B02A9F">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第十一条：合同的文本及生效</w:t>
      </w:r>
    </w:p>
    <w:p w14:paraId="1BDC34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1、本合同一式四份，甲方三份，乙方一份。</w:t>
      </w:r>
    </w:p>
    <w:p w14:paraId="277852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2、本合同经甲乙双方法定代表人或委托代理人签字并加盖公章后即生效。传真件及扫描件具有同等法律效力。</w:t>
      </w:r>
    </w:p>
    <w:p w14:paraId="14080A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3、本合同未尽事宜，经双方商议可续签补充协议。该补充协议与本合同具有相同法律效力。</w:t>
      </w:r>
    </w:p>
    <w:p w14:paraId="6D5444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4、本合同未涉及的事项按乙方针对本项目报价文件执行。乙方</w:t>
      </w:r>
      <w:r>
        <w:rPr>
          <w:rFonts w:hint="eastAsia" w:ascii="宋体" w:hAnsi="宋体" w:eastAsia="宋体" w:cs="宋体"/>
          <w:kern w:val="2"/>
          <w:sz w:val="24"/>
          <w:szCs w:val="24"/>
          <w:u w:val="single"/>
          <w:lang w:val="en-US" w:eastAsia="zh-CN" w:bidi="ar"/>
        </w:rPr>
        <w:t>投标文件及</w:t>
      </w:r>
      <w:r>
        <w:rPr>
          <w:rFonts w:hint="eastAsia" w:ascii="宋体" w:hAnsi="宋体" w:eastAsia="宋体" w:cs="宋体"/>
          <w:kern w:val="2"/>
          <w:sz w:val="24"/>
          <w:szCs w:val="24"/>
          <w:lang w:val="en-US" w:eastAsia="zh-CN" w:bidi="ar"/>
        </w:rPr>
        <w:t xml:space="preserve">报价文件与本合同的规定不一致时，以本合同为准。 </w:t>
      </w:r>
    </w:p>
    <w:p w14:paraId="060AF02B">
      <w:pPr>
        <w:pStyle w:val="3"/>
        <w:rPr>
          <w:rFonts w:hint="eastAsia" w:eastAsia="宋体" w:cs="宋体"/>
          <w:kern w:val="2"/>
          <w:sz w:val="24"/>
          <w:szCs w:val="24"/>
          <w:lang w:val="en-US" w:eastAsia="zh-CN" w:bidi="ar"/>
        </w:rPr>
      </w:pPr>
      <w:r>
        <w:rPr>
          <w:rFonts w:hint="eastAsia" w:eastAsia="宋体" w:cs="宋体"/>
          <w:kern w:val="2"/>
          <w:sz w:val="24"/>
          <w:szCs w:val="24"/>
          <w:lang w:val="en-US" w:eastAsia="zh-CN" w:bidi="ar"/>
        </w:rPr>
        <w:t>（以下无正文）</w:t>
      </w:r>
    </w:p>
    <w:tbl>
      <w:tblPr>
        <w:tblStyle w:val="7"/>
        <w:tblW w:w="9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3"/>
        <w:gridCol w:w="4678"/>
      </w:tblGrid>
      <w:tr w14:paraId="4AF9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1" w:hRule="atLeast"/>
          <w:jc w:val="center"/>
        </w:trPr>
        <w:tc>
          <w:tcPr>
            <w:tcW w:w="5143" w:type="dxa"/>
            <w:noWrap w:val="0"/>
            <w:vAlign w:val="center"/>
          </w:tcPr>
          <w:p w14:paraId="72B79DE8">
            <w:pPr>
              <w:keepNext w:val="0"/>
              <w:keepLines w:val="0"/>
              <w:pageBreakBefore w:val="0"/>
              <w:widowControl w:val="0"/>
              <w:kinsoku/>
              <w:wordWrap/>
              <w:overflowPunct/>
              <w:topLinePunct w:val="0"/>
              <w:autoSpaceDE/>
              <w:autoSpaceDN/>
              <w:bidi w:val="0"/>
              <w:adjustRightInd w:val="0"/>
              <w:snapToGrid w:val="0"/>
              <w:spacing w:line="360" w:lineRule="auto"/>
              <w:ind w:left="0" w:hanging="1440" w:hangingChars="6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甲</w:t>
            </w:r>
            <w:r>
              <w:rPr>
                <w:rFonts w:hint="eastAsia" w:ascii="宋体" w:hAnsi="宋体" w:eastAsia="宋体" w:cs="宋体"/>
                <w:sz w:val="24"/>
                <w:szCs w:val="24"/>
              </w:rPr>
              <w:t>方（章）</w:t>
            </w:r>
            <w:r>
              <w:rPr>
                <w:rFonts w:hint="eastAsia" w:ascii="宋体" w:hAnsi="宋体" w:eastAsia="宋体" w:cs="宋体"/>
                <w:sz w:val="24"/>
                <w:szCs w:val="24"/>
                <w:lang w:eastAsia="zh-CN"/>
              </w:rPr>
              <w:t>：</w:t>
            </w:r>
          </w:p>
          <w:p w14:paraId="25D84010">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407A9541">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rPr>
            </w:pPr>
            <w:r>
              <w:rPr>
                <w:rFonts w:hint="eastAsia" w:ascii="宋体" w:hAnsi="宋体" w:eastAsia="宋体" w:cs="宋体"/>
                <w:sz w:val="24"/>
                <w:szCs w:val="24"/>
              </w:rPr>
              <w:t>委托代理人：</w:t>
            </w:r>
          </w:p>
          <w:p w14:paraId="6FE31999">
            <w:pPr>
              <w:pStyle w:val="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税    号：</w:t>
            </w:r>
          </w:p>
          <w:p w14:paraId="7CCF42C5">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p>
          <w:p w14:paraId="67FC25BE">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    号：</w:t>
            </w:r>
          </w:p>
          <w:p w14:paraId="1C99BB03">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p>
          <w:p w14:paraId="4D07FFE6">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p>
          <w:p w14:paraId="345C193E">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话：  </w:t>
            </w:r>
          </w:p>
        </w:tc>
        <w:tc>
          <w:tcPr>
            <w:tcW w:w="4678" w:type="dxa"/>
            <w:noWrap w:val="0"/>
            <w:vAlign w:val="center"/>
          </w:tcPr>
          <w:p w14:paraId="2D73681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乙方（章）：</w:t>
            </w:r>
          </w:p>
          <w:p w14:paraId="65488E56">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p w14:paraId="6C36040F">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rPr>
            </w:pPr>
            <w:r>
              <w:rPr>
                <w:rFonts w:hint="eastAsia" w:ascii="宋体" w:hAnsi="宋体" w:eastAsia="宋体" w:cs="宋体"/>
                <w:sz w:val="24"/>
                <w:szCs w:val="24"/>
              </w:rPr>
              <w:t>委托代理人：</w:t>
            </w:r>
          </w:p>
          <w:p w14:paraId="5599F598">
            <w:pPr>
              <w:pStyle w:val="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税    号：</w:t>
            </w:r>
          </w:p>
          <w:p w14:paraId="5283E9DF">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p>
          <w:p w14:paraId="2878F4AC">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账    号：</w:t>
            </w:r>
          </w:p>
          <w:p w14:paraId="6E634BCB">
            <w:pPr>
              <w:keepNext w:val="0"/>
              <w:keepLines w:val="0"/>
              <w:pageBreakBefore w:val="0"/>
              <w:widowControl w:val="0"/>
              <w:kinsoku/>
              <w:wordWrap/>
              <w:overflowPunct/>
              <w:topLinePunct w:val="0"/>
              <w:autoSpaceDE/>
              <w:autoSpaceDN/>
              <w:bidi w:val="0"/>
              <w:adjustRightInd w:val="0"/>
              <w:snapToGrid w:val="0"/>
              <w:spacing w:line="360" w:lineRule="auto"/>
              <w:ind w:left="1200" w:hanging="1200" w:hangingChars="5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p>
          <w:p w14:paraId="0D5D3237">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w:t>
            </w:r>
          </w:p>
        </w:tc>
      </w:tr>
    </w:tbl>
    <w:p w14:paraId="584B13E6">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84135"/>
    <w:multiLevelType w:val="multilevel"/>
    <w:tmpl w:val="8D284135"/>
    <w:lvl w:ilvl="0" w:tentative="0">
      <w:start w:val="1"/>
      <w:numFmt w:val="chineseCounting"/>
      <w:suff w:val="space"/>
      <w:lvlText w:val="第%1条"/>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856F554"/>
    <w:multiLevelType w:val="singleLevel"/>
    <w:tmpl w:val="C856F55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15F6E"/>
    <w:rsid w:val="45515F6E"/>
    <w:rsid w:val="4C0F0A83"/>
    <w:rsid w:val="670C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pPr>
    <w:rPr>
      <w:rFonts w:ascii="Calibri" w:hAnsi="Calibri" w:cs="Calibri"/>
      <w:b/>
      <w:caps/>
      <w:sz w:val="20"/>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7062</Words>
  <Characters>7875</Characters>
  <Lines>0</Lines>
  <Paragraphs>0</Paragraphs>
  <TotalTime>0</TotalTime>
  <ScaleCrop>false</ScaleCrop>
  <LinksUpToDate>false</LinksUpToDate>
  <CharactersWithSpaces>8138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2025-04-25T00:37:00Z</dcterms:created>
  <dc:creator>舍得</dc:creator>
  <cp:lastModifiedBy>Amor</cp:lastModifiedBy>
  <dcterms:modified xsi:type="dcterms:W3CDTF">2025-04-25T08:54:51Z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7B511BA4AA6B466C9A71020B98A038C0_13</vt:lpwstr>
  </property>
  <property fmtid="{D5CDD505-2E9C-101B-9397-08002B2CF9AE}" pid="4" name="KSOTemplateDocerSaveRecord">
    <vt:lpwstr>eyJoZGlkIjoiZmY2MDZjYmJlMDdkYTQ3MTEyN2Y4ZDNhYjFiYjJmZWYiLCJ1c2VySWQiOiIxMzA0NzQxMDMxIn0=</vt:lpwstr>
  </property>
</Properties>
</file>